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161" w:rsidRDefault="00A91161" w:rsidP="004626C2">
      <w:pPr>
        <w:jc w:val="center"/>
      </w:pPr>
      <w:r>
        <w:t>EXERCICIS</w:t>
      </w:r>
    </w:p>
    <w:p w:rsidR="00E75F38" w:rsidRDefault="00A91161">
      <w:pPr>
        <w:rPr>
          <w:b/>
          <w:u w:val="single"/>
        </w:rPr>
      </w:pPr>
      <w:r w:rsidRPr="00A91161">
        <w:rPr>
          <w:b/>
          <w:u w:val="single"/>
        </w:rPr>
        <w:t xml:space="preserve">PROPIETATS FISICOQUÍMIQUES </w:t>
      </w:r>
    </w:p>
    <w:p w:rsidR="00A91161" w:rsidRDefault="00A91161" w:rsidP="00A91161">
      <w:pPr>
        <w:pStyle w:val="Prrafodelista"/>
        <w:numPr>
          <w:ilvl w:val="0"/>
          <w:numId w:val="1"/>
        </w:numPr>
      </w:pPr>
      <w:r>
        <w:t xml:space="preserve">Calcula la densitat d’un líquid a partir dels següents valors obtinguts amb un picnòmetre de líquids.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032"/>
        <w:gridCol w:w="1184"/>
      </w:tblGrid>
      <w:tr w:rsidR="004626C2" w:rsidTr="004626C2">
        <w:tc>
          <w:tcPr>
            <w:tcW w:w="3032" w:type="dxa"/>
            <w:tcBorders>
              <w:top w:val="nil"/>
              <w:left w:val="nil"/>
            </w:tcBorders>
          </w:tcPr>
          <w:p w:rsidR="004626C2" w:rsidRDefault="004626C2" w:rsidP="004626C2">
            <w:pPr>
              <w:pStyle w:val="Prrafodelista"/>
              <w:ind w:left="0"/>
            </w:pPr>
          </w:p>
        </w:tc>
        <w:tc>
          <w:tcPr>
            <w:tcW w:w="1184" w:type="dxa"/>
          </w:tcPr>
          <w:p w:rsidR="004626C2" w:rsidRDefault="004626C2" w:rsidP="004626C2">
            <w:pPr>
              <w:pStyle w:val="Prrafodelista"/>
              <w:ind w:left="0"/>
            </w:pPr>
            <w:r>
              <w:t>Massa (g)</w:t>
            </w:r>
          </w:p>
        </w:tc>
      </w:tr>
      <w:tr w:rsidR="004626C2" w:rsidTr="004626C2">
        <w:tc>
          <w:tcPr>
            <w:tcW w:w="3032" w:type="dxa"/>
          </w:tcPr>
          <w:p w:rsidR="004626C2" w:rsidRDefault="004626C2" w:rsidP="004626C2">
            <w:pPr>
              <w:pStyle w:val="Prrafodelista"/>
              <w:ind w:left="0"/>
            </w:pPr>
            <w:r>
              <w:t>Picnòmetre</w:t>
            </w:r>
          </w:p>
        </w:tc>
        <w:tc>
          <w:tcPr>
            <w:tcW w:w="1184" w:type="dxa"/>
          </w:tcPr>
          <w:p w:rsidR="004626C2" w:rsidRDefault="004626C2" w:rsidP="004626C2">
            <w:pPr>
              <w:pStyle w:val="Prrafodelista"/>
              <w:ind w:left="0"/>
            </w:pPr>
            <w:r>
              <w:t>18.64</w:t>
            </w:r>
          </w:p>
        </w:tc>
      </w:tr>
      <w:tr w:rsidR="004626C2" w:rsidTr="004626C2">
        <w:tc>
          <w:tcPr>
            <w:tcW w:w="3032" w:type="dxa"/>
          </w:tcPr>
          <w:p w:rsidR="004626C2" w:rsidRDefault="004626C2" w:rsidP="004626C2">
            <w:pPr>
              <w:pStyle w:val="Prrafodelista"/>
              <w:ind w:left="0"/>
            </w:pPr>
            <w:r>
              <w:t>Picnòmetre + aigua destil·lada</w:t>
            </w:r>
          </w:p>
        </w:tc>
        <w:tc>
          <w:tcPr>
            <w:tcW w:w="1184" w:type="dxa"/>
          </w:tcPr>
          <w:p w:rsidR="004626C2" w:rsidRDefault="004626C2" w:rsidP="004626C2">
            <w:pPr>
              <w:pStyle w:val="Prrafodelista"/>
              <w:ind w:left="0"/>
            </w:pPr>
            <w:r>
              <w:t>46.60</w:t>
            </w:r>
          </w:p>
        </w:tc>
      </w:tr>
      <w:tr w:rsidR="004626C2" w:rsidTr="004626C2">
        <w:tc>
          <w:tcPr>
            <w:tcW w:w="3032" w:type="dxa"/>
          </w:tcPr>
          <w:p w:rsidR="004626C2" w:rsidRDefault="004626C2" w:rsidP="004626C2">
            <w:pPr>
              <w:pStyle w:val="Prrafodelista"/>
              <w:ind w:left="0"/>
            </w:pPr>
            <w:r>
              <w:t xml:space="preserve">Picnòmetre + líquid problema </w:t>
            </w:r>
          </w:p>
        </w:tc>
        <w:tc>
          <w:tcPr>
            <w:tcW w:w="1184" w:type="dxa"/>
          </w:tcPr>
          <w:p w:rsidR="004626C2" w:rsidRDefault="004626C2" w:rsidP="004626C2">
            <w:pPr>
              <w:pStyle w:val="Prrafodelista"/>
              <w:ind w:left="0"/>
            </w:pPr>
            <w:r>
              <w:t>47.61</w:t>
            </w:r>
          </w:p>
        </w:tc>
      </w:tr>
    </w:tbl>
    <w:p w:rsidR="004626C2" w:rsidRDefault="004626C2" w:rsidP="004626C2">
      <w:pPr>
        <w:pStyle w:val="Prrafodelista"/>
      </w:pPr>
    </w:p>
    <w:p w:rsidR="00A91161" w:rsidRDefault="00EF6C67" w:rsidP="00A91161">
      <w:pPr>
        <w:pStyle w:val="Prrafodelista"/>
      </w:pPr>
      <w:r>
        <w:t xml:space="preserve"> </w:t>
      </w:r>
    </w:p>
    <w:p w:rsidR="00A91161" w:rsidRDefault="00A91161" w:rsidP="00A91161">
      <w:pPr>
        <w:pStyle w:val="Prrafodelista"/>
        <w:numPr>
          <w:ilvl w:val="0"/>
          <w:numId w:val="1"/>
        </w:numPr>
      </w:pPr>
      <w:r>
        <w:t>La determinació del punt de fusió de l’àcid acetilsalicílic dóna els següents valors: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133"/>
        <w:gridCol w:w="1822"/>
      </w:tblGrid>
      <w:tr w:rsidR="004626C2" w:rsidTr="004626C2">
        <w:tc>
          <w:tcPr>
            <w:tcW w:w="1133" w:type="dxa"/>
            <w:tcBorders>
              <w:top w:val="nil"/>
              <w:left w:val="nil"/>
            </w:tcBorders>
          </w:tcPr>
          <w:p w:rsidR="004626C2" w:rsidRDefault="004626C2" w:rsidP="00AE6ECE">
            <w:pPr>
              <w:pStyle w:val="Prrafodelista"/>
              <w:ind w:left="0"/>
            </w:pPr>
          </w:p>
        </w:tc>
        <w:tc>
          <w:tcPr>
            <w:tcW w:w="1822" w:type="dxa"/>
          </w:tcPr>
          <w:p w:rsidR="004626C2" w:rsidRDefault="004626C2" w:rsidP="00AE6ECE">
            <w:pPr>
              <w:pStyle w:val="Prrafodelista"/>
              <w:ind w:left="0"/>
            </w:pPr>
            <w:r>
              <w:t xml:space="preserve">Interval de fusió </w:t>
            </w:r>
          </w:p>
        </w:tc>
      </w:tr>
      <w:tr w:rsidR="004626C2" w:rsidTr="004626C2">
        <w:tc>
          <w:tcPr>
            <w:tcW w:w="1133" w:type="dxa"/>
          </w:tcPr>
          <w:p w:rsidR="004626C2" w:rsidRDefault="004626C2" w:rsidP="00AE6ECE">
            <w:pPr>
              <w:pStyle w:val="Prrafodelista"/>
              <w:ind w:left="0"/>
            </w:pPr>
            <w:r>
              <w:t>Mostra 1</w:t>
            </w:r>
          </w:p>
        </w:tc>
        <w:tc>
          <w:tcPr>
            <w:tcW w:w="1822" w:type="dxa"/>
          </w:tcPr>
          <w:p w:rsidR="004626C2" w:rsidRDefault="004626C2" w:rsidP="00AE6ECE">
            <w:pPr>
              <w:pStyle w:val="Prrafodelista"/>
              <w:ind w:left="0"/>
            </w:pPr>
            <w:r>
              <w:t>131.5-132.5</w:t>
            </w:r>
          </w:p>
        </w:tc>
      </w:tr>
      <w:tr w:rsidR="004626C2" w:rsidTr="004626C2">
        <w:tc>
          <w:tcPr>
            <w:tcW w:w="1133" w:type="dxa"/>
          </w:tcPr>
          <w:p w:rsidR="004626C2" w:rsidRDefault="004626C2" w:rsidP="00AE6ECE">
            <w:pPr>
              <w:pStyle w:val="Prrafodelista"/>
              <w:ind w:left="0"/>
            </w:pPr>
            <w:r>
              <w:t>Mostra 2</w:t>
            </w:r>
          </w:p>
        </w:tc>
        <w:tc>
          <w:tcPr>
            <w:tcW w:w="1822" w:type="dxa"/>
          </w:tcPr>
          <w:p w:rsidR="004626C2" w:rsidRDefault="004626C2" w:rsidP="00AE6ECE">
            <w:pPr>
              <w:pStyle w:val="Prrafodelista"/>
              <w:ind w:left="0"/>
            </w:pPr>
            <w:r>
              <w:t>131.5-132</w:t>
            </w:r>
          </w:p>
        </w:tc>
      </w:tr>
      <w:tr w:rsidR="004626C2" w:rsidTr="004626C2">
        <w:tc>
          <w:tcPr>
            <w:tcW w:w="1133" w:type="dxa"/>
          </w:tcPr>
          <w:p w:rsidR="004626C2" w:rsidRDefault="004626C2" w:rsidP="00AE6ECE">
            <w:pPr>
              <w:pStyle w:val="Prrafodelista"/>
              <w:ind w:left="0"/>
            </w:pPr>
            <w:r>
              <w:t>Mostra 3</w:t>
            </w:r>
          </w:p>
        </w:tc>
        <w:tc>
          <w:tcPr>
            <w:tcW w:w="1822" w:type="dxa"/>
          </w:tcPr>
          <w:p w:rsidR="004626C2" w:rsidRDefault="004626C2" w:rsidP="00AE6ECE">
            <w:pPr>
              <w:pStyle w:val="Prrafodelista"/>
              <w:ind w:left="0"/>
            </w:pPr>
            <w:r>
              <w:t>131-132</w:t>
            </w:r>
          </w:p>
        </w:tc>
      </w:tr>
    </w:tbl>
    <w:p w:rsidR="004626C2" w:rsidRDefault="004626C2" w:rsidP="004626C2">
      <w:pPr>
        <w:pStyle w:val="Prrafodelista"/>
      </w:pPr>
    </w:p>
    <w:p w:rsidR="004626C2" w:rsidRDefault="004626C2" w:rsidP="004626C2">
      <w:pPr>
        <w:pStyle w:val="Prrafodelista"/>
      </w:pPr>
      <w:r>
        <w:t>Busca el punt de fusió a internet d’aquest compost i comenta els valors obtinguts</w:t>
      </w:r>
    </w:p>
    <w:p w:rsidR="004626C2" w:rsidRDefault="004626C2" w:rsidP="004626C2">
      <w:pPr>
        <w:pStyle w:val="Prrafodelista"/>
      </w:pPr>
    </w:p>
    <w:p w:rsidR="004626C2" w:rsidRDefault="004626C2" w:rsidP="004626C2">
      <w:pPr>
        <w:pStyle w:val="Prrafodelista"/>
        <w:numPr>
          <w:ilvl w:val="0"/>
          <w:numId w:val="1"/>
        </w:numPr>
      </w:pPr>
      <w:r>
        <w:t xml:space="preserve">Realitza un esquema dels passos que s’han de seguir per la calibració del pH-metre. </w:t>
      </w:r>
    </w:p>
    <w:p w:rsidR="00681DCF" w:rsidRDefault="00681DCF" w:rsidP="004626C2">
      <w:pPr>
        <w:pStyle w:val="Prrafodelista"/>
        <w:numPr>
          <w:ilvl w:val="0"/>
          <w:numId w:val="1"/>
        </w:numPr>
      </w:pPr>
      <w:r>
        <w:t xml:space="preserve">Existeixen diferents tipus de detectors utilitzats en cromatografia. Hem parlat dels FID i TCD, els més usuals, però per determinades aplicacions existeixen altres detectors més selectius. Busca alguns dels detectors i indica el camp d’aplicació. </w:t>
      </w:r>
    </w:p>
    <w:p w:rsidR="00D607CC" w:rsidRDefault="00D607CC" w:rsidP="00D607CC">
      <w:pPr>
        <w:rPr>
          <w:b/>
          <w:u w:val="single"/>
        </w:rPr>
      </w:pPr>
      <w:r w:rsidRPr="00D607CC">
        <w:rPr>
          <w:b/>
          <w:u w:val="single"/>
        </w:rPr>
        <w:t xml:space="preserve">PRESA DE MOSTRA </w:t>
      </w:r>
    </w:p>
    <w:p w:rsidR="00D607CC" w:rsidRDefault="00D607CC" w:rsidP="00D607CC">
      <w:pPr>
        <w:pStyle w:val="Prrafodelista"/>
        <w:numPr>
          <w:ilvl w:val="0"/>
          <w:numId w:val="2"/>
        </w:numPr>
      </w:pPr>
      <w:r>
        <w:t>Explics breument com s’han de prendre les mostres per aborció del diòxid i monòxid de nitrogen de l’aire. (NTP 171)</w:t>
      </w:r>
    </w:p>
    <w:p w:rsidR="00D607CC" w:rsidRDefault="00D607CC" w:rsidP="00D607CC">
      <w:pPr>
        <w:pStyle w:val="Prrafodelista"/>
        <w:numPr>
          <w:ilvl w:val="0"/>
          <w:numId w:val="2"/>
        </w:numPr>
      </w:pPr>
      <w:r>
        <w:t>Perquè abans de de prendre una mostra líquida d’una canonada o recipient tancat s’ha de deixar passar dos vegades la capacitat del recipient on s’ha de recollir la mostra?</w:t>
      </w:r>
    </w:p>
    <w:p w:rsidR="00D607CC" w:rsidRDefault="00D607CC" w:rsidP="00D607CC">
      <w:pPr>
        <w:pStyle w:val="Prrafodelista"/>
        <w:numPr>
          <w:ilvl w:val="0"/>
          <w:numId w:val="2"/>
        </w:numPr>
      </w:pPr>
      <w:r>
        <w:t>Si es vol recollir una mostra sensible a la llum, quin tipus de recipient s’ha d’utilitzar?</w:t>
      </w:r>
    </w:p>
    <w:p w:rsidR="00D607CC" w:rsidRDefault="00D607CC" w:rsidP="00D607CC">
      <w:pPr>
        <w:pStyle w:val="Prrafodelista"/>
        <w:numPr>
          <w:ilvl w:val="0"/>
          <w:numId w:val="2"/>
        </w:numPr>
      </w:pPr>
      <w:r>
        <w:t>Explica com es pot prendre una mostra representativa d’un tanc d’emmagatzematge de petroli de 90000m</w:t>
      </w:r>
      <w:r>
        <w:rPr>
          <w:vertAlign w:val="superscript"/>
        </w:rPr>
        <w:t>3</w:t>
      </w:r>
      <w:r>
        <w:t>.</w:t>
      </w:r>
    </w:p>
    <w:p w:rsidR="00D607CC" w:rsidRPr="00D607CC" w:rsidRDefault="00D607CC" w:rsidP="00D607CC">
      <w:pPr>
        <w:pStyle w:val="Prrafodelista"/>
        <w:numPr>
          <w:ilvl w:val="0"/>
          <w:numId w:val="2"/>
        </w:numPr>
      </w:pPr>
      <w:r>
        <w:t>S’acceptarà un lot de 20500 unitats si en una inspecció de nivell 1 amb un nivell de qualitat de 2,5 es detecten 7 unitats defectuoses?</w:t>
      </w:r>
      <w:bookmarkStart w:id="0" w:name="_GoBack"/>
      <w:bookmarkEnd w:id="0"/>
    </w:p>
    <w:sectPr w:rsidR="00D607CC" w:rsidRPr="00D607C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687" w:rsidRDefault="00326687" w:rsidP="004626C2">
      <w:pPr>
        <w:spacing w:after="0" w:line="240" w:lineRule="auto"/>
      </w:pPr>
      <w:r>
        <w:separator/>
      </w:r>
    </w:p>
  </w:endnote>
  <w:endnote w:type="continuationSeparator" w:id="0">
    <w:p w:rsidR="00326687" w:rsidRDefault="00326687" w:rsidP="00462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687" w:rsidRDefault="00326687" w:rsidP="004626C2">
      <w:pPr>
        <w:spacing w:after="0" w:line="240" w:lineRule="auto"/>
      </w:pPr>
      <w:r>
        <w:separator/>
      </w:r>
    </w:p>
  </w:footnote>
  <w:footnote w:type="continuationSeparator" w:id="0">
    <w:p w:rsidR="00326687" w:rsidRDefault="00326687" w:rsidP="00462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6C2" w:rsidRDefault="004626C2" w:rsidP="004626C2">
    <w:pPr>
      <w:pBdr>
        <w:bottom w:val="single" w:sz="6" w:space="1" w:color="auto"/>
      </w:pBdr>
      <w:spacing w:after="0"/>
      <w:jc w:val="right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3EE275A" wp14:editId="32685E2B">
          <wp:simplePos x="0" y="0"/>
          <wp:positionH relativeFrom="margin">
            <wp:posOffset>0</wp:posOffset>
          </wp:positionH>
          <wp:positionV relativeFrom="paragraph">
            <wp:posOffset>-132715</wp:posOffset>
          </wp:positionV>
          <wp:extent cx="1336675" cy="422910"/>
          <wp:effectExtent l="19050" t="0" r="0" b="0"/>
          <wp:wrapNone/>
          <wp:docPr id="8" name="Imagen 8" descr="Logo Montilivi 2015 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Montilivi 2015 neg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422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MP06 Regulació i control del procés químic</w:t>
    </w:r>
  </w:p>
  <w:p w:rsidR="004626C2" w:rsidRDefault="004626C2" w:rsidP="004626C2">
    <w:pPr>
      <w:pBdr>
        <w:bottom w:val="single" w:sz="6" w:space="1" w:color="auto"/>
      </w:pBdr>
      <w:spacing w:after="0"/>
      <w:jc w:val="right"/>
    </w:pPr>
  </w:p>
  <w:p w:rsidR="004626C2" w:rsidRDefault="004626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F03F3"/>
    <w:multiLevelType w:val="hybridMultilevel"/>
    <w:tmpl w:val="A0707B3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2513"/>
    <w:multiLevelType w:val="hybridMultilevel"/>
    <w:tmpl w:val="49F23FC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61"/>
    <w:rsid w:val="00155053"/>
    <w:rsid w:val="0025605A"/>
    <w:rsid w:val="00326687"/>
    <w:rsid w:val="004626C2"/>
    <w:rsid w:val="00681DCF"/>
    <w:rsid w:val="008F4F6C"/>
    <w:rsid w:val="00A91161"/>
    <w:rsid w:val="00D607CC"/>
    <w:rsid w:val="00E75F38"/>
    <w:rsid w:val="00E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BCDC"/>
  <w15:chartTrackingRefBased/>
  <w15:docId w15:val="{F0671BD8-C3EB-4771-9538-2FAEB63B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116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62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26C2"/>
  </w:style>
  <w:style w:type="paragraph" w:styleId="Piedepgina">
    <w:name w:val="footer"/>
    <w:basedOn w:val="Normal"/>
    <w:link w:val="PiedepginaCar"/>
    <w:uiPriority w:val="99"/>
    <w:unhideWhenUsed/>
    <w:rsid w:val="00462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26C2"/>
  </w:style>
  <w:style w:type="table" w:styleId="Tablaconcuadrcula">
    <w:name w:val="Table Grid"/>
    <w:basedOn w:val="Tablanormal"/>
    <w:uiPriority w:val="39"/>
    <w:rsid w:val="0046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martin</dc:creator>
  <cp:keywords/>
  <dc:description/>
  <cp:lastModifiedBy>arianna martin</cp:lastModifiedBy>
  <cp:revision>4</cp:revision>
  <dcterms:created xsi:type="dcterms:W3CDTF">2017-09-26T10:53:00Z</dcterms:created>
  <dcterms:modified xsi:type="dcterms:W3CDTF">2017-09-29T09:26:00Z</dcterms:modified>
</cp:coreProperties>
</file>